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263BEA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F1475B">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012D12">
        <w:rPr>
          <w:bCs/>
          <w:noProof w:val="0"/>
          <w:sz w:val="24"/>
          <w:szCs w:val="24"/>
        </w:rPr>
        <w:t>09288</w:t>
      </w:r>
    </w:p>
    <w:p w14:paraId="11776FA6" w14:textId="7ECA3DA2"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w:t>
      </w:r>
      <w:r w:rsidR="00AD453E">
        <w:rPr>
          <w:rFonts w:eastAsia="SimSun"/>
          <w:bCs/>
          <w:sz w:val="24"/>
          <w:szCs w:val="24"/>
          <w:lang w:eastAsia="zh-CN"/>
        </w:rPr>
        <w:t>ia</w:t>
      </w:r>
      <w:r w:rsidRPr="00F036E9">
        <w:rPr>
          <w:rFonts w:eastAsia="SimSun"/>
          <w:bCs/>
          <w:sz w:val="24"/>
          <w:szCs w:val="24"/>
          <w:lang w:eastAsia="zh-CN"/>
        </w:rPr>
        <w:t>, 26</w:t>
      </w:r>
      <w:r w:rsidR="00AD453E">
        <w:rPr>
          <w:rFonts w:eastAsia="SimSun"/>
          <w:bCs/>
          <w:sz w:val="24"/>
          <w:szCs w:val="24"/>
          <w:lang w:eastAsia="zh-CN"/>
        </w:rPr>
        <w:t>th</w:t>
      </w:r>
      <w:r w:rsidRPr="00F036E9">
        <w:rPr>
          <w:rFonts w:eastAsia="SimSun"/>
          <w:bCs/>
          <w:sz w:val="24"/>
          <w:szCs w:val="24"/>
          <w:lang w:eastAsia="zh-CN"/>
        </w:rPr>
        <w:t xml:space="preserve"> – 30</w:t>
      </w:r>
      <w:r w:rsidR="00AD453E">
        <w:rPr>
          <w:rFonts w:eastAsia="SimSun"/>
          <w:bCs/>
          <w:sz w:val="24"/>
          <w:szCs w:val="24"/>
          <w:lang w:eastAsia="zh-CN"/>
        </w:rPr>
        <w:t>th</w:t>
      </w:r>
      <w:r w:rsidRPr="00F036E9">
        <w:rPr>
          <w:rFonts w:eastAsia="SimSun"/>
          <w:bCs/>
          <w:sz w:val="24"/>
          <w:szCs w:val="24"/>
          <w:lang w:eastAsia="zh-CN"/>
        </w:rPr>
        <w:t xml:space="preserve"> </w:t>
      </w:r>
      <w:r w:rsidR="00AD453E">
        <w:rPr>
          <w:rFonts w:eastAsia="SimSun"/>
          <w:bCs/>
          <w:sz w:val="24"/>
          <w:szCs w:val="24"/>
          <w:lang w:eastAsia="zh-CN"/>
        </w:rPr>
        <w:t xml:space="preserve">of </w:t>
      </w:r>
      <w:r w:rsidRPr="00F036E9">
        <w:rPr>
          <w:rFonts w:eastAsia="SimSun"/>
          <w:bCs/>
          <w:sz w:val="24"/>
          <w:szCs w:val="24"/>
          <w:lang w:eastAsia="zh-CN"/>
        </w:rPr>
        <w:t>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79706F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475B">
        <w:rPr>
          <w:rFonts w:cs="Arial"/>
          <w:b/>
          <w:bCs/>
          <w:sz w:val="24"/>
          <w:lang w:eastAsia="ja-JP"/>
        </w:rPr>
        <w:t>11.9.</w:t>
      </w:r>
      <w:r w:rsidR="004E21E3">
        <w:rPr>
          <w:rFonts w:cs="Arial"/>
          <w:b/>
          <w:bCs/>
          <w:sz w:val="24"/>
          <w:lang w:eastAsia="ja-JP"/>
        </w:rPr>
        <w:t>3.</w:t>
      </w:r>
      <w:r w:rsidR="00012D12">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19ABF7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12D12" w:rsidRPr="00012D12">
        <w:rPr>
          <w:rFonts w:ascii="Arial" w:hAnsi="Arial" w:cs="Arial"/>
          <w:b/>
          <w:bCs/>
          <w:sz w:val="24"/>
        </w:rPr>
        <w:t>On keeping CHO commands after handover</w:t>
      </w:r>
    </w:p>
    <w:p w14:paraId="1F147C23" w14:textId="3A93C62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1475B" w:rsidRPr="00F1475B">
        <w:rPr>
          <w:rFonts w:ascii="Arial" w:hAnsi="Arial" w:cs="Arial"/>
          <w:b/>
          <w:bCs/>
          <w:sz w:val="24"/>
        </w:rPr>
        <w:t>NR_Mob_enh</w:t>
      </w:r>
      <w:proofErr w:type="spellEnd"/>
      <w:r w:rsidR="00F1475B" w:rsidRPr="00F1475B">
        <w:rPr>
          <w:rFonts w:ascii="Arial" w:hAnsi="Arial" w:cs="Arial"/>
          <w:b/>
          <w:bCs/>
          <w:sz w:val="24"/>
        </w:rPr>
        <w:t xml:space="preserve">-Core </w:t>
      </w:r>
      <w:r>
        <w:rPr>
          <w:rFonts w:ascii="Arial" w:hAnsi="Arial" w:cs="Arial"/>
          <w:b/>
          <w:bCs/>
          <w:sz w:val="24"/>
        </w:rPr>
        <w:t xml:space="preserve">- Release </w:t>
      </w:r>
      <w:r w:rsidR="00F1475B">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8C1315A" w14:textId="57EEF29B" w:rsidR="00365AAF" w:rsidRDefault="004051C0" w:rsidP="00BB6EDD">
      <w:pPr>
        <w:jc w:val="both"/>
      </w:pPr>
      <w:r>
        <w:t>I</w:t>
      </w:r>
      <w:r w:rsidR="00976731">
        <w:t>n RAN2#106</w:t>
      </w:r>
      <w:r>
        <w:t xml:space="preserve"> the following agreements were made</w:t>
      </w:r>
      <w:r w:rsidR="00E50D73">
        <w:t xml:space="preserve"> </w:t>
      </w:r>
      <w:r w:rsidR="00E50D73">
        <w:fldChar w:fldCharType="begin"/>
      </w:r>
      <w:r w:rsidR="00E50D73">
        <w:instrText xml:space="preserve"> REF _Ref12434618 \r \h </w:instrText>
      </w:r>
      <w:r w:rsidR="00E50D73">
        <w:fldChar w:fldCharType="separate"/>
      </w:r>
      <w:r w:rsidR="00E50D73">
        <w:t>[1]</w:t>
      </w:r>
      <w:r w:rsidR="00E50D73">
        <w:fldChar w:fldCharType="end"/>
      </w:r>
      <w:r w:rsidR="00976731">
        <w:t>:</w:t>
      </w:r>
    </w:p>
    <w:tbl>
      <w:tblPr>
        <w:tblStyle w:val="TableGrid"/>
        <w:tblW w:w="0" w:type="auto"/>
        <w:tblLook w:val="04A0" w:firstRow="1" w:lastRow="0" w:firstColumn="1" w:lastColumn="0" w:noHBand="0" w:noVBand="1"/>
      </w:tblPr>
      <w:tblGrid>
        <w:gridCol w:w="9631"/>
      </w:tblGrid>
      <w:tr w:rsidR="00976731" w:rsidRPr="001E6103" w14:paraId="7092E39D" w14:textId="77777777" w:rsidTr="00B6335E">
        <w:tc>
          <w:tcPr>
            <w:tcW w:w="9631" w:type="dxa"/>
          </w:tcPr>
          <w:p w14:paraId="35F5358B" w14:textId="77777777" w:rsidR="00976731" w:rsidRPr="001E6103" w:rsidRDefault="00976731" w:rsidP="00B6335E">
            <w:pPr>
              <w:rPr>
                <w:rFonts w:ascii="Arial" w:hAnsi="Arial" w:cs="Arial"/>
                <w:lang w:val="en-US"/>
              </w:rPr>
            </w:pPr>
            <w:r w:rsidRPr="001E6103">
              <w:rPr>
                <w:rFonts w:ascii="Arial" w:hAnsi="Arial" w:cs="Arial"/>
                <w:lang w:val="en-US"/>
              </w:rPr>
              <w:t>Agreements</w:t>
            </w:r>
          </w:p>
          <w:p w14:paraId="1B13ED9D" w14:textId="77777777" w:rsidR="00976731" w:rsidRPr="001E6103" w:rsidRDefault="00976731" w:rsidP="00B6335E">
            <w:pPr>
              <w:rPr>
                <w:rFonts w:ascii="Arial" w:hAnsi="Arial" w:cs="Arial"/>
                <w:lang w:val="en-US"/>
              </w:rPr>
            </w:pPr>
            <w:r w:rsidRPr="001E6103">
              <w:rPr>
                <w:rFonts w:ascii="Arial" w:hAnsi="Arial" w:cs="Arial"/>
                <w:lang w:val="en-US"/>
              </w:rPr>
              <w:t>1</w:t>
            </w:r>
            <w:r w:rsidRPr="001E6103">
              <w:rPr>
                <w:rFonts w:ascii="Arial" w:hAnsi="Arial" w:cs="Arial"/>
                <w:lang w:val="en-US"/>
              </w:rPr>
              <w:tab/>
              <w:t xml:space="preserve">Deconfiguration of CHO candidates is performed by RRC </w:t>
            </w:r>
            <w:proofErr w:type="spellStart"/>
            <w:r w:rsidRPr="001E6103">
              <w:rPr>
                <w:rFonts w:ascii="Arial" w:hAnsi="Arial" w:cs="Arial"/>
                <w:lang w:val="en-US"/>
              </w:rPr>
              <w:t>signalling</w:t>
            </w:r>
            <w:proofErr w:type="spellEnd"/>
            <w:r w:rsidRPr="001E6103">
              <w:rPr>
                <w:rFonts w:ascii="Arial" w:hAnsi="Arial" w:cs="Arial"/>
                <w:lang w:val="en-US"/>
              </w:rPr>
              <w:t xml:space="preserve"> (we will not introduce timer based mechanism for the UE to deconfiguration of the CHO candidates)</w:t>
            </w:r>
          </w:p>
          <w:p w14:paraId="668F6AE3" w14:textId="77777777" w:rsidR="00976731" w:rsidRPr="001E6103" w:rsidRDefault="00976731" w:rsidP="00B6335E">
            <w:pPr>
              <w:rPr>
                <w:rFonts w:ascii="Arial" w:hAnsi="Arial" w:cs="Arial"/>
                <w:lang w:val="en-US"/>
              </w:rPr>
            </w:pPr>
            <w:r w:rsidRPr="001E6103">
              <w:rPr>
                <w:rFonts w:ascii="Arial" w:hAnsi="Arial" w:cs="Arial"/>
                <w:lang w:val="en-US"/>
              </w:rPr>
              <w:t>2</w:t>
            </w:r>
            <w:r w:rsidRPr="001E6103">
              <w:rPr>
                <w:rFonts w:ascii="Arial" w:hAnsi="Arial" w:cs="Arial"/>
                <w:lang w:val="en-US"/>
              </w:rPr>
              <w:tab/>
              <w:t>Baseline that configuration of all CHO candidates are released after successful (any) handover completion (sending complete message to the target cell).</w:t>
            </w:r>
          </w:p>
          <w:p w14:paraId="270471EA" w14:textId="77777777" w:rsidR="00976731" w:rsidRPr="001E6103" w:rsidRDefault="00976731" w:rsidP="00B6335E">
            <w:pPr>
              <w:rPr>
                <w:rFonts w:ascii="Arial" w:hAnsi="Arial" w:cs="Arial"/>
                <w:lang w:val="en-US"/>
              </w:rPr>
            </w:pPr>
            <w:r w:rsidRPr="004051C0">
              <w:rPr>
                <w:rFonts w:ascii="Arial" w:hAnsi="Arial" w:cs="Arial"/>
                <w:highlight w:val="yellow"/>
                <w:lang w:val="en-US"/>
              </w:rPr>
              <w:t>FFS if it might be possible to keep CHO candidates after the HO.</w:t>
            </w:r>
          </w:p>
        </w:tc>
      </w:tr>
    </w:tbl>
    <w:p w14:paraId="08F14195" w14:textId="7366F27F" w:rsidR="00CE4727" w:rsidRPr="00FE5E68" w:rsidRDefault="00465D18" w:rsidP="00976731">
      <w:pPr>
        <w:rPr>
          <w:lang w:val="en-US"/>
        </w:rPr>
      </w:pPr>
      <w:r>
        <w:rPr>
          <w:rFonts w:ascii="Arial" w:hAnsi="Arial" w:cs="Arial"/>
          <w:lang w:val="en-US"/>
        </w:rPr>
        <w:br/>
      </w:r>
      <w:r w:rsidR="004051C0">
        <w:rPr>
          <w:lang w:val="en-US"/>
        </w:rPr>
        <w:t>In this contribution we will discuss whether it is reasonable to keep CHO target candidates after a handover</w:t>
      </w:r>
      <w:r>
        <w:rPr>
          <w:lang w:val="en-US"/>
        </w:rPr>
        <w:t xml:space="preserve"> (i.e. the highlighted FFS)</w:t>
      </w:r>
      <w:r w:rsidR="004051C0">
        <w:rPr>
          <w:lang w:val="en-US"/>
        </w:rPr>
        <w:t xml:space="preserve">. </w:t>
      </w:r>
    </w:p>
    <w:p w14:paraId="2BBFF540" w14:textId="7D885B87" w:rsidR="00A209D6" w:rsidRPr="006E13D1" w:rsidRDefault="00A209D6" w:rsidP="00A209D6">
      <w:pPr>
        <w:pStyle w:val="Heading1"/>
      </w:pPr>
      <w:r w:rsidRPr="006E13D1">
        <w:t>2</w:t>
      </w:r>
      <w:r w:rsidRPr="006E13D1">
        <w:tab/>
      </w:r>
      <w:r w:rsidR="00B61B92">
        <w:t>Discussion</w:t>
      </w:r>
    </w:p>
    <w:p w14:paraId="48D41724" w14:textId="2ED5F088" w:rsidR="004051C0" w:rsidRDefault="004051C0" w:rsidP="004051C0">
      <w:r>
        <w:t>As a baseline, the UE releases the prepared CHO target candidates as soon as it sends the handover complete message to the target cell. There is some motivation to keep the CHO target candidates longer than that:</w:t>
      </w:r>
    </w:p>
    <w:p w14:paraId="60796E8A" w14:textId="0D28E160" w:rsidR="004051C0" w:rsidRDefault="004051C0" w:rsidP="004051C0">
      <w:pPr>
        <w:pStyle w:val="ListParagraph"/>
        <w:numPr>
          <w:ilvl w:val="0"/>
          <w:numId w:val="13"/>
        </w:numPr>
      </w:pPr>
      <w:r>
        <w:t>“Too early handover”</w:t>
      </w:r>
      <w:r w:rsidR="00214AF5">
        <w:t xml:space="preserve"> (as defined in 36.300)</w:t>
      </w:r>
      <w:r w:rsidR="00870625">
        <w:t>: in some cases, an RLF happens shortly after completing a (conditional) handover from source A to target B, and the UE would re-establish to the original cell A. The typical reason is that the handover decision from A to B was suboptimal (typically too early) such that there was not enough time in the target B to properly initiate the handover back to cell B. Most likely the UE could have stayed in the source cell A.</w:t>
      </w:r>
      <w:r w:rsidR="003D4B58">
        <w:br/>
      </w:r>
      <w:r w:rsidR="003D4B58">
        <w:fldChar w:fldCharType="begin"/>
      </w:r>
      <w:r w:rsidR="003D4B58">
        <w:instrText xml:space="preserve"> REF _Ref14106827 \h </w:instrText>
      </w:r>
      <w:r w:rsidR="003D4B58">
        <w:fldChar w:fldCharType="separate"/>
      </w:r>
      <w:r w:rsidR="003D4B58">
        <w:t xml:space="preserve">Figure </w:t>
      </w:r>
      <w:r w:rsidR="003D4B58">
        <w:rPr>
          <w:noProof/>
        </w:rPr>
        <w:t>1</w:t>
      </w:r>
      <w:r w:rsidR="003D4B58">
        <w:fldChar w:fldCharType="end"/>
      </w:r>
      <w:r w:rsidR="003D4B58">
        <w:t xml:space="preserve"> (left) illustrates the too early handover. The UE is connected to the blue cell, runs into a coverage island of the blue cell, executes a successful handover, suffers RLF and sends re-establishment request (RER) to the red cell.</w:t>
      </w:r>
    </w:p>
    <w:p w14:paraId="2C2DD00B" w14:textId="2B324FAA" w:rsidR="00870625" w:rsidRDefault="00870625" w:rsidP="003D4B58">
      <w:pPr>
        <w:pStyle w:val="ListParagraph"/>
        <w:numPr>
          <w:ilvl w:val="0"/>
          <w:numId w:val="13"/>
        </w:numPr>
      </w:pPr>
      <w:r>
        <w:t>“Handover to wrong cell”</w:t>
      </w:r>
      <w:r w:rsidR="00214AF5">
        <w:t xml:space="preserve"> (as defined in 36.300)</w:t>
      </w:r>
      <w:r>
        <w:t>: similarly, an RLF may happen shortly after completing a (conditional) handover from source A to target B, and the UE would re-establish to a third cell C. Obviously, again there was not enough time in target B to properly initiate another handover to cell C. Most likely, the handover should have happened from source A directly to target C.</w:t>
      </w:r>
      <w:r w:rsidR="003D4B58">
        <w:br/>
      </w:r>
      <w:r w:rsidR="003D4B58">
        <w:fldChar w:fldCharType="begin"/>
      </w:r>
      <w:r w:rsidR="003D4B58">
        <w:instrText xml:space="preserve"> REF _Ref14106827 \h </w:instrText>
      </w:r>
      <w:r w:rsidR="003D4B58">
        <w:fldChar w:fldCharType="separate"/>
      </w:r>
      <w:r w:rsidR="003D4B58">
        <w:t xml:space="preserve">Figure </w:t>
      </w:r>
      <w:r w:rsidR="003D4B58">
        <w:rPr>
          <w:noProof/>
        </w:rPr>
        <w:t>1</w:t>
      </w:r>
      <w:r w:rsidR="003D4B58">
        <w:fldChar w:fldCharType="end"/>
      </w:r>
      <w:r w:rsidR="003D4B58">
        <w:t xml:space="preserve"> (right) illustrates the handover to wrong cell. The UE is connected to the green cell, runs into a coverage island of the blue cell, executes a successful handover to the blue cell, suffers RLF and sends re-establishment request (RER) to the red cell.</w:t>
      </w:r>
    </w:p>
    <w:p w14:paraId="7EE159FE" w14:textId="6F4D1E60" w:rsidR="00214AF5" w:rsidRDefault="00214AF5" w:rsidP="004051C0">
      <w:pPr>
        <w:pStyle w:val="ListParagraph"/>
        <w:numPr>
          <w:ilvl w:val="0"/>
          <w:numId w:val="13"/>
        </w:numPr>
      </w:pPr>
      <w:r>
        <w:t>“</w:t>
      </w:r>
      <w:proofErr w:type="spellStart"/>
      <w:r>
        <w:t>Pingpong</w:t>
      </w:r>
      <w:proofErr w:type="spellEnd"/>
      <w:r>
        <w:t xml:space="preserve">” / “Rapid Handover”: in other cases, the successful handover from source A to B might be followed by a subsequent successful handover back to the source cell A, or to a third cell C. Although no failure has happened, this creates additional signalling since the target B has to initiate the handover right from the scratch. </w:t>
      </w:r>
    </w:p>
    <w:p w14:paraId="417DAFF5" w14:textId="4D91B448" w:rsidR="0032139C" w:rsidRDefault="003D4B58" w:rsidP="0032139C">
      <w:pPr>
        <w:keepNext/>
        <w:jc w:val="center"/>
      </w:pPr>
      <w:r>
        <w:rPr>
          <w:noProof/>
        </w:rPr>
        <w:lastRenderedPageBreak/>
        <w:drawing>
          <wp:inline distT="0" distB="0" distL="0" distR="0" wp14:anchorId="377F0E74" wp14:editId="13F5C233">
            <wp:extent cx="4290947" cy="188244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06983" cy="1889480"/>
                    </a:xfrm>
                    <a:prstGeom prst="rect">
                      <a:avLst/>
                    </a:prstGeom>
                    <a:noFill/>
                  </pic:spPr>
                </pic:pic>
              </a:graphicData>
            </a:graphic>
          </wp:inline>
        </w:drawing>
      </w:r>
    </w:p>
    <w:p w14:paraId="1A28414B" w14:textId="76AC689C" w:rsidR="0032139C" w:rsidRDefault="0032139C" w:rsidP="0032139C">
      <w:pPr>
        <w:pStyle w:val="Caption"/>
        <w:jc w:val="center"/>
      </w:pPr>
      <w:bookmarkStart w:id="0" w:name="_Ref14106827"/>
      <w:r>
        <w:t xml:space="preserve">Figure </w:t>
      </w:r>
      <w:fldSimple w:instr=" SEQ Figure \* ARABIC ">
        <w:r>
          <w:rPr>
            <w:noProof/>
          </w:rPr>
          <w:t>1</w:t>
        </w:r>
      </w:fldSimple>
      <w:bookmarkEnd w:id="0"/>
      <w:r>
        <w:t xml:space="preserve"> Too early handover (left) and Handover to wrong cell (right)</w:t>
      </w:r>
    </w:p>
    <w:p w14:paraId="128A45CD" w14:textId="07EFEB73" w:rsidR="00870625" w:rsidRDefault="00870625" w:rsidP="00870625">
      <w:r>
        <w:t>As a generalization, we could say that there are cases where a</w:t>
      </w:r>
      <w:r w:rsidR="0032139C">
        <w:t xml:space="preserve"> further</w:t>
      </w:r>
      <w:r>
        <w:t xml:space="preserve"> handover </w:t>
      </w:r>
      <w:r w:rsidR="0032139C">
        <w:t xml:space="preserve">to a new target cell </w:t>
      </w:r>
      <w:r>
        <w:t xml:space="preserve">is needed shortly after a successful handover. Next, we may argue that the new target cell might have been visible </w:t>
      </w:r>
      <w:r w:rsidR="0032139C">
        <w:t xml:space="preserve">(and prepared) </w:t>
      </w:r>
      <w:r>
        <w:t>before the first handover (from A to B). In these cases, it looks reasonable to keep CHO resources in order to simplify (</w:t>
      </w:r>
      <w:r w:rsidR="0032139C">
        <w:t xml:space="preserve">and potentially </w:t>
      </w:r>
      <w:r>
        <w:t>accelerate) the subsequent handover</w:t>
      </w:r>
      <w:r w:rsidR="00214AF5">
        <w:t xml:space="preserve"> (which in turn may avoid RLF or save signalling)</w:t>
      </w:r>
      <w:r>
        <w:t>.</w:t>
      </w:r>
    </w:p>
    <w:p w14:paraId="05B127DE" w14:textId="4BF258B1" w:rsidR="00870625" w:rsidRDefault="00214AF5" w:rsidP="00870625">
      <w:r>
        <w:t>However, investigat</w:t>
      </w:r>
      <w:r w:rsidR="0032139C">
        <w:t>ing</w:t>
      </w:r>
      <w:r>
        <w:t xml:space="preserve"> this idea in more detail reveals some problems:</w:t>
      </w:r>
    </w:p>
    <w:p w14:paraId="34B8D49D" w14:textId="16F83BD1" w:rsidR="00214AF5" w:rsidRDefault="00214AF5" w:rsidP="00214AF5">
      <w:pPr>
        <w:pStyle w:val="ListParagraph"/>
        <w:numPr>
          <w:ilvl w:val="0"/>
          <w:numId w:val="14"/>
        </w:numPr>
      </w:pPr>
      <w:r>
        <w:t>For the classical “too early handover” where the subsequent handover would be towards the original source cell A</w:t>
      </w:r>
      <w:r w:rsidR="003D4B58">
        <w:t xml:space="preserve"> (red)</w:t>
      </w:r>
      <w:r>
        <w:t xml:space="preserve">, it would not help keeping CHO target candidates, since the source cell is obviously not part of the list of candidates. </w:t>
      </w:r>
      <w:r w:rsidR="00587BF0">
        <w:t>It may not be forbidden, that a source cell A configures the UE with a HO Command to the source cell A itself (just for simplifying the way back in case something goes wrong), but this seems to be unreasonable overhead.</w:t>
      </w:r>
    </w:p>
    <w:p w14:paraId="3777B1E3" w14:textId="54157451" w:rsidR="009E22B5" w:rsidRDefault="00587BF0" w:rsidP="00214AF5">
      <w:pPr>
        <w:pStyle w:val="ListParagraph"/>
        <w:numPr>
          <w:ilvl w:val="0"/>
          <w:numId w:val="14"/>
        </w:numPr>
      </w:pPr>
      <w:r>
        <w:t>The same argumentation holds for “</w:t>
      </w:r>
      <w:proofErr w:type="spellStart"/>
      <w:r>
        <w:t>pingpong</w:t>
      </w:r>
      <w:proofErr w:type="spellEnd"/>
      <w:r w:rsidR="009E22B5">
        <w:t xml:space="preserve"> handover</w:t>
      </w:r>
      <w:r>
        <w:t>”</w:t>
      </w:r>
      <w:r w:rsidR="00C40B93">
        <w:t xml:space="preserve"> cases</w:t>
      </w:r>
      <w:r>
        <w:t>.</w:t>
      </w:r>
      <w:r w:rsidR="009E22B5">
        <w:t xml:space="preserve"> </w:t>
      </w:r>
    </w:p>
    <w:p w14:paraId="350298D9" w14:textId="45F086FF" w:rsidR="00587BF0" w:rsidRDefault="009E22B5" w:rsidP="009E22B5">
      <w:pPr>
        <w:pStyle w:val="ListParagraph"/>
        <w:numPr>
          <w:ilvl w:val="1"/>
          <w:numId w:val="14"/>
        </w:numPr>
      </w:pPr>
      <w:r>
        <w:t>Having multiple CHO targets might even increase the probability of ping-pongs since UE would have more potentially incorrect targets.</w:t>
      </w:r>
    </w:p>
    <w:p w14:paraId="1582DDEB" w14:textId="51841D9D" w:rsidR="00587BF0" w:rsidRDefault="00587BF0" w:rsidP="00214AF5">
      <w:pPr>
        <w:pStyle w:val="ListParagraph"/>
        <w:numPr>
          <w:ilvl w:val="0"/>
          <w:numId w:val="14"/>
        </w:numPr>
      </w:pPr>
      <w:r>
        <w:t xml:space="preserve">For a “handover to wrong cell”, indeed, it may happen that source cell A </w:t>
      </w:r>
      <w:r w:rsidR="003D4B58">
        <w:t xml:space="preserve">(green) </w:t>
      </w:r>
      <w:r>
        <w:t xml:space="preserve">has prepared target B </w:t>
      </w:r>
      <w:r w:rsidR="003D4B58">
        <w:t xml:space="preserve">(blue) </w:t>
      </w:r>
      <w:r>
        <w:t xml:space="preserve">and C </w:t>
      </w:r>
      <w:r w:rsidR="003D4B58">
        <w:t xml:space="preserve">(red) </w:t>
      </w:r>
      <w:r>
        <w:t xml:space="preserve">for CHO, successfully executes CHO to </w:t>
      </w:r>
      <w:r w:rsidR="005866F5">
        <w:t>cell B</w:t>
      </w:r>
      <w:r w:rsidR="003D4B58">
        <w:t xml:space="preserve"> (green)</w:t>
      </w:r>
      <w:r w:rsidR="005866F5">
        <w:t xml:space="preserve">, but a quick handover to cell C </w:t>
      </w:r>
      <w:r w:rsidR="003D4B58">
        <w:t xml:space="preserve">(red) </w:t>
      </w:r>
      <w:r w:rsidR="005866F5">
        <w:t>would be necessary. Initially, it looks advantageous if the UE keeps the preparation of cell C.</w:t>
      </w:r>
    </w:p>
    <w:p w14:paraId="1AB83A0A" w14:textId="5E724EA4" w:rsidR="005866F5" w:rsidRDefault="005866F5" w:rsidP="005866F5">
      <w:pPr>
        <w:pStyle w:val="ListParagraph"/>
        <w:numPr>
          <w:ilvl w:val="1"/>
          <w:numId w:val="14"/>
        </w:numPr>
      </w:pPr>
      <w:r>
        <w:t xml:space="preserve">However, the new serving cell B </w:t>
      </w:r>
      <w:r w:rsidR="003D4B58">
        <w:t xml:space="preserve">(blue) </w:t>
      </w:r>
      <w:r>
        <w:t>is not aware of the preparation of cell C</w:t>
      </w:r>
      <w:r w:rsidR="003D4B58">
        <w:t xml:space="preserve"> (green)</w:t>
      </w:r>
      <w:r>
        <w:t>. This causes problems with packet forwarding.</w:t>
      </w:r>
    </w:p>
    <w:p w14:paraId="44422401" w14:textId="2A83A2F7" w:rsidR="005866F5" w:rsidRDefault="005866F5" w:rsidP="005866F5">
      <w:pPr>
        <w:pStyle w:val="ListParagraph"/>
        <w:numPr>
          <w:ilvl w:val="1"/>
          <w:numId w:val="14"/>
        </w:numPr>
      </w:pPr>
      <w:r>
        <w:t>Furthermore, the original preparatio</w:t>
      </w:r>
      <w:r w:rsidR="001B14EC">
        <w:t>n of cell C (done by cell A) may not be useful since it was based on the RRC configuration in cell A. Now, the UE would access target C from the new serving cell B and the UE therefore would have a different RRC configuration.</w:t>
      </w:r>
      <w:r w:rsidR="002F1410">
        <w:br/>
        <w:t>Please note that there is not enough time to reconfigure the UE in cell B by definition, otherwise the subsequent handover would not be a problem.</w:t>
      </w:r>
    </w:p>
    <w:p w14:paraId="7A28E57E" w14:textId="170FB70D" w:rsidR="001B14EC" w:rsidRDefault="001B14EC" w:rsidP="005866F5">
      <w:pPr>
        <w:pStyle w:val="ListParagraph"/>
        <w:numPr>
          <w:ilvl w:val="1"/>
          <w:numId w:val="14"/>
        </w:numPr>
      </w:pPr>
      <w:r>
        <w:t>So</w:t>
      </w:r>
      <w:r w:rsidR="002F1410">
        <w:t>,</w:t>
      </w:r>
      <w:r>
        <w:t xml:space="preserve"> it seems highly questionable </w:t>
      </w:r>
      <w:r w:rsidR="002F1410">
        <w:t>that a subsequent handover is really simplified without additional effort (e.g. source cell A transfers the CHO information to target cell B).</w:t>
      </w:r>
    </w:p>
    <w:p w14:paraId="50EE1D00" w14:textId="74D2DC42" w:rsidR="002F1410" w:rsidRDefault="002F1410" w:rsidP="002F1410">
      <w:pPr>
        <w:pStyle w:val="ListParagraph"/>
        <w:numPr>
          <w:ilvl w:val="0"/>
          <w:numId w:val="14"/>
        </w:numPr>
      </w:pPr>
      <w:r>
        <w:t xml:space="preserve">The same argumentation </w:t>
      </w:r>
      <w:r w:rsidR="00C40B93">
        <w:t xml:space="preserve">as above </w:t>
      </w:r>
      <w:r>
        <w:t>holds for “Rapid Handover”</w:t>
      </w:r>
      <w:r w:rsidR="00C40B93">
        <w:t xml:space="preserve"> cases</w:t>
      </w:r>
      <w:r>
        <w:t>.</w:t>
      </w:r>
    </w:p>
    <w:p w14:paraId="2CA4A086" w14:textId="77777777" w:rsidR="00FD6BA2" w:rsidRDefault="00FD6BA2" w:rsidP="00FD6BA2">
      <w:pPr>
        <w:jc w:val="both"/>
        <w:rPr>
          <w:b/>
        </w:rPr>
      </w:pPr>
      <w:r>
        <w:rPr>
          <w:b/>
        </w:rPr>
        <w:t xml:space="preserve">Observation 1: Keeping the CHO resource after successful handover cannot help too early handovers and </w:t>
      </w:r>
      <w:proofErr w:type="spellStart"/>
      <w:r>
        <w:rPr>
          <w:b/>
        </w:rPr>
        <w:t>pingpongs</w:t>
      </w:r>
      <w:proofErr w:type="spellEnd"/>
      <w:r>
        <w:rPr>
          <w:b/>
        </w:rPr>
        <w:t xml:space="preserve"> (without additional effort).</w:t>
      </w:r>
    </w:p>
    <w:p w14:paraId="42AEF68B" w14:textId="77777777" w:rsidR="00FD6BA2" w:rsidRDefault="00FD6BA2" w:rsidP="00FD6BA2">
      <w:pPr>
        <w:jc w:val="both"/>
        <w:rPr>
          <w:b/>
        </w:rPr>
      </w:pPr>
      <w:r>
        <w:rPr>
          <w:b/>
        </w:rPr>
        <w:t>Observation 2: Keeping the CHO resource after successful handover is questionable to help handover to wrong cell and rapid handover (without additional effort).</w:t>
      </w:r>
    </w:p>
    <w:p w14:paraId="6EF27F8F" w14:textId="10EEFB89" w:rsidR="002F1410" w:rsidRDefault="002F1410" w:rsidP="001B14EC">
      <w:r>
        <w:t>Finally, the question is whether the introduction of CHO alone would not already reduce the occurrence of “handover to wrong cell” and “rapid handovers” (as well as “too early handover” and “</w:t>
      </w:r>
      <w:proofErr w:type="spellStart"/>
      <w:r>
        <w:t>pingpong</w:t>
      </w:r>
      <w:proofErr w:type="spellEnd"/>
      <w:r>
        <w:t>”) so significantly, that cases where it would help keeping CHO candidates are getting too rare. The fact that CHO can prepare early and execute late at the same time, should lead to significant benefits in these events.</w:t>
      </w:r>
    </w:p>
    <w:p w14:paraId="0535C74B" w14:textId="61492D2E" w:rsidR="00FD6BA2" w:rsidRDefault="00FD6BA2" w:rsidP="00FD6BA2">
      <w:pPr>
        <w:jc w:val="both"/>
        <w:rPr>
          <w:b/>
        </w:rPr>
      </w:pPr>
      <w:r>
        <w:rPr>
          <w:b/>
        </w:rPr>
        <w:t xml:space="preserve">Observation 3: Introduction of CHO alone reduces handover to wrong cell, too early handover, </w:t>
      </w:r>
      <w:proofErr w:type="spellStart"/>
      <w:r>
        <w:rPr>
          <w:b/>
        </w:rPr>
        <w:t>pingpong</w:t>
      </w:r>
      <w:proofErr w:type="spellEnd"/>
      <w:r>
        <w:rPr>
          <w:b/>
        </w:rPr>
        <w:t xml:space="preserve"> and rapid handovers significantly, and thereby also reduces the cases where keeping the CHO resources</w:t>
      </w:r>
      <w:r w:rsidR="00B854DF">
        <w:rPr>
          <w:b/>
        </w:rPr>
        <w:t xml:space="preserve"> after HO</w:t>
      </w:r>
      <w:r>
        <w:rPr>
          <w:b/>
        </w:rPr>
        <w:t xml:space="preserve"> would help.</w:t>
      </w:r>
    </w:p>
    <w:p w14:paraId="6DDAFCF8" w14:textId="5B81AD1F" w:rsidR="00F32AC8" w:rsidRPr="003D4B58" w:rsidRDefault="00FD6BA2" w:rsidP="003D4B58">
      <w:pPr>
        <w:jc w:val="both"/>
        <w:rPr>
          <w:b/>
        </w:rPr>
      </w:pPr>
      <w:r>
        <w:rPr>
          <w:b/>
        </w:rPr>
        <w:t>Proposal 1: UE</w:t>
      </w:r>
      <w:r w:rsidR="00C40B93">
        <w:rPr>
          <w:b/>
        </w:rPr>
        <w:t xml:space="preserve"> releases any stored</w:t>
      </w:r>
      <w:r>
        <w:rPr>
          <w:b/>
        </w:rPr>
        <w:t xml:space="preserve"> CHO </w:t>
      </w:r>
      <w:r w:rsidR="00C40B93">
        <w:rPr>
          <w:b/>
        </w:rPr>
        <w:t>commands</w:t>
      </w:r>
      <w:r w:rsidR="00B854DF">
        <w:rPr>
          <w:b/>
        </w:rPr>
        <w:t>/configurations</w:t>
      </w:r>
      <w:r>
        <w:rPr>
          <w:b/>
        </w:rPr>
        <w:t xml:space="preserve"> after sending handover complete </w:t>
      </w:r>
      <w:r w:rsidR="00C40B93">
        <w:rPr>
          <w:b/>
        </w:rPr>
        <w:t xml:space="preserve">(i.e. </w:t>
      </w:r>
      <w:proofErr w:type="spellStart"/>
      <w:r w:rsidR="00C40B93" w:rsidRPr="00C40B93">
        <w:rPr>
          <w:b/>
          <w:i/>
        </w:rPr>
        <w:t>RRCReconfigurationComplete</w:t>
      </w:r>
      <w:proofErr w:type="spellEnd"/>
      <w:r w:rsidR="00C40B93">
        <w:rPr>
          <w:b/>
        </w:rPr>
        <w:t xml:space="preserve">) </w:t>
      </w:r>
      <w:r>
        <w:rPr>
          <w:b/>
        </w:rPr>
        <w:t>to the target.</w:t>
      </w:r>
    </w:p>
    <w:p w14:paraId="5FF2457F" w14:textId="30F24FD2" w:rsidR="00A209D6" w:rsidRPr="006E13D1" w:rsidRDefault="00924277" w:rsidP="00A209D6">
      <w:pPr>
        <w:pStyle w:val="Heading1"/>
      </w:pPr>
      <w:bookmarkStart w:id="1" w:name="_GoBack"/>
      <w:bookmarkEnd w:id="1"/>
      <w:r>
        <w:lastRenderedPageBreak/>
        <w:t>3</w:t>
      </w:r>
      <w:r w:rsidR="00A209D6" w:rsidRPr="006E13D1">
        <w:tab/>
      </w:r>
      <w:r w:rsidR="008C3057">
        <w:t>Conclusion</w:t>
      </w:r>
    </w:p>
    <w:p w14:paraId="4AC8C053" w14:textId="766011C4" w:rsidR="00123A5C" w:rsidRPr="007525D8" w:rsidRDefault="00B854DF" w:rsidP="00BB6EDD">
      <w:pPr>
        <w:jc w:val="both"/>
      </w:pPr>
      <w:r w:rsidRPr="007525D8">
        <w:t>In this paper we have discussed whether it makes sense to keep the CHO candidates after successful HO completion. The following observations and proposals have been made:</w:t>
      </w:r>
    </w:p>
    <w:p w14:paraId="6445F513" w14:textId="77777777" w:rsidR="007525D8" w:rsidRDefault="007525D8" w:rsidP="007525D8">
      <w:pPr>
        <w:jc w:val="both"/>
        <w:rPr>
          <w:b/>
        </w:rPr>
      </w:pPr>
      <w:r>
        <w:rPr>
          <w:b/>
        </w:rPr>
        <w:t xml:space="preserve">Observation 1: Keeping the CHO resource after successful handover cannot help too early handovers and </w:t>
      </w:r>
      <w:proofErr w:type="spellStart"/>
      <w:r>
        <w:rPr>
          <w:b/>
        </w:rPr>
        <w:t>pingpongs</w:t>
      </w:r>
      <w:proofErr w:type="spellEnd"/>
      <w:r>
        <w:rPr>
          <w:b/>
        </w:rPr>
        <w:t xml:space="preserve"> (without additional effort).</w:t>
      </w:r>
    </w:p>
    <w:p w14:paraId="6AD7D5E8" w14:textId="77777777" w:rsidR="007525D8" w:rsidRDefault="007525D8" w:rsidP="007525D8">
      <w:pPr>
        <w:jc w:val="both"/>
        <w:rPr>
          <w:b/>
        </w:rPr>
      </w:pPr>
      <w:r>
        <w:rPr>
          <w:b/>
        </w:rPr>
        <w:t>Observation 2: Keeping the CHO resource after successful handover is questionable to help handover to wrong cell and rapid handover (without additional effort).</w:t>
      </w:r>
    </w:p>
    <w:p w14:paraId="5E5ECA96" w14:textId="77777777" w:rsidR="007525D8" w:rsidRDefault="007525D8" w:rsidP="007525D8">
      <w:pPr>
        <w:jc w:val="both"/>
        <w:rPr>
          <w:b/>
        </w:rPr>
      </w:pPr>
      <w:r>
        <w:rPr>
          <w:b/>
        </w:rPr>
        <w:t xml:space="preserve">Observation 3: Introduction of CHO alone reduces handover to wrong cell, too early handover, </w:t>
      </w:r>
      <w:proofErr w:type="spellStart"/>
      <w:r>
        <w:rPr>
          <w:b/>
        </w:rPr>
        <w:t>pingpong</w:t>
      </w:r>
      <w:proofErr w:type="spellEnd"/>
      <w:r>
        <w:rPr>
          <w:b/>
        </w:rPr>
        <w:t xml:space="preserve"> and rapid handovers significantly, and thereby also reduces the cases where keeping the CHO resources after HO would help.</w:t>
      </w:r>
    </w:p>
    <w:p w14:paraId="5E969518" w14:textId="4675CFFB" w:rsidR="00B854DF" w:rsidRPr="00BB6EDD" w:rsidRDefault="007525D8" w:rsidP="00BB6EDD">
      <w:pPr>
        <w:jc w:val="both"/>
        <w:rPr>
          <w:b/>
        </w:rPr>
      </w:pPr>
      <w:r>
        <w:rPr>
          <w:b/>
        </w:rPr>
        <w:t xml:space="preserve">Proposal 1: UE releases any stored CHO commands/configurations after sending handover complete (i.e. </w:t>
      </w:r>
      <w:proofErr w:type="spellStart"/>
      <w:r w:rsidRPr="00C40B93">
        <w:rPr>
          <w:b/>
          <w:i/>
        </w:rPr>
        <w:t>RRCReconfigurationComplete</w:t>
      </w:r>
      <w:proofErr w:type="spellEnd"/>
      <w:r>
        <w:rPr>
          <w:b/>
        </w:rPr>
        <w:t>) to the target.</w:t>
      </w:r>
    </w:p>
    <w:p w14:paraId="432B0A82" w14:textId="476EBFC8" w:rsidR="00A209D6" w:rsidRDefault="00B61B92" w:rsidP="00B61B92">
      <w:pPr>
        <w:pStyle w:val="Heading1"/>
      </w:pPr>
      <w:r>
        <w:t>References</w:t>
      </w:r>
    </w:p>
    <w:p w14:paraId="31F1850F" w14:textId="7E2976D3" w:rsidR="002A5627" w:rsidRDefault="00B61B92" w:rsidP="00EB1D67">
      <w:pPr>
        <w:pStyle w:val="ListParagraph"/>
        <w:numPr>
          <w:ilvl w:val="0"/>
          <w:numId w:val="8"/>
        </w:numPr>
      </w:pPr>
      <w:bookmarkStart w:id="2" w:name="_Ref12434618"/>
      <w:r w:rsidRPr="00B61B92">
        <w:t>R2-1908108</w:t>
      </w:r>
      <w:r>
        <w:t xml:space="preserve"> </w:t>
      </w:r>
      <w:r w:rsidRPr="00B61B92">
        <w:rPr>
          <w:i/>
        </w:rPr>
        <w:t>Report from session on Rel-16 LTE Mobility Enhancements WI</w:t>
      </w:r>
      <w:r>
        <w:t xml:space="preserve"> 3GPP TSG-RAN WG2 Meeting #106, Reno, USA, 13th – 17th of May 2019</w:t>
      </w:r>
      <w:bookmarkEnd w:id="2"/>
    </w:p>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BAF8A" w14:textId="77777777" w:rsidR="00B14A3B" w:rsidRDefault="00B14A3B">
      <w:r>
        <w:separator/>
      </w:r>
    </w:p>
  </w:endnote>
  <w:endnote w:type="continuationSeparator" w:id="0">
    <w:p w14:paraId="7B619640" w14:textId="77777777" w:rsidR="00B14A3B" w:rsidRDefault="00B14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B512F" w14:textId="77777777" w:rsidR="00B14A3B" w:rsidRDefault="00B14A3B">
      <w:r>
        <w:separator/>
      </w:r>
    </w:p>
  </w:footnote>
  <w:footnote w:type="continuationSeparator" w:id="0">
    <w:p w14:paraId="276366A1" w14:textId="77777777" w:rsidR="00B14A3B" w:rsidRDefault="00B14A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7E3005"/>
    <w:multiLevelType w:val="hybridMultilevel"/>
    <w:tmpl w:val="F42E49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FC656D"/>
    <w:multiLevelType w:val="hybridMultilevel"/>
    <w:tmpl w:val="85C8C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6D5536"/>
    <w:multiLevelType w:val="hybridMultilevel"/>
    <w:tmpl w:val="9C387F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A3537B"/>
    <w:multiLevelType w:val="hybridMultilevel"/>
    <w:tmpl w:val="D2BC1760"/>
    <w:lvl w:ilvl="0" w:tplc="43B85628">
      <w:start w:val="1"/>
      <w:numFmt w:val="decimal"/>
      <w:lvlText w:val="[%1]"/>
      <w:lvlJc w:val="left"/>
      <w:pPr>
        <w:ind w:left="284"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C05FB7"/>
    <w:multiLevelType w:val="hybridMultilevel"/>
    <w:tmpl w:val="8828E9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6A01291"/>
    <w:multiLevelType w:val="hybridMultilevel"/>
    <w:tmpl w:val="EB5A75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514BB4"/>
    <w:multiLevelType w:val="hybridMultilevel"/>
    <w:tmpl w:val="0004E3E0"/>
    <w:lvl w:ilvl="0" w:tplc="5164F6D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E5F509F"/>
    <w:multiLevelType w:val="hybridMultilevel"/>
    <w:tmpl w:val="5BD6A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9"/>
  </w:num>
  <w:num w:numId="7">
    <w:abstractNumId w:val="10"/>
  </w:num>
  <w:num w:numId="8">
    <w:abstractNumId w:val="5"/>
  </w:num>
  <w:num w:numId="9">
    <w:abstractNumId w:val="4"/>
  </w:num>
  <w:num w:numId="10">
    <w:abstractNumId w:val="2"/>
  </w:num>
  <w:num w:numId="11">
    <w:abstractNumId w:val="11"/>
  </w:num>
  <w:num w:numId="12">
    <w:abstractNumId w:val="3"/>
  </w:num>
  <w:num w:numId="13">
    <w:abstractNumId w:val="13"/>
  </w:num>
  <w:num w:numId="14">
    <w:abstractNumId w:val="6"/>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2D12"/>
    <w:rsid w:val="00016557"/>
    <w:rsid w:val="00023C40"/>
    <w:rsid w:val="00033397"/>
    <w:rsid w:val="00040095"/>
    <w:rsid w:val="00073C9C"/>
    <w:rsid w:val="00080512"/>
    <w:rsid w:val="00090468"/>
    <w:rsid w:val="00094568"/>
    <w:rsid w:val="000B7BCF"/>
    <w:rsid w:val="000C522B"/>
    <w:rsid w:val="000D58AB"/>
    <w:rsid w:val="00104AFA"/>
    <w:rsid w:val="00112F1A"/>
    <w:rsid w:val="00123A5C"/>
    <w:rsid w:val="00145075"/>
    <w:rsid w:val="001741A0"/>
    <w:rsid w:val="00175FA0"/>
    <w:rsid w:val="00194CD0"/>
    <w:rsid w:val="001A2F48"/>
    <w:rsid w:val="001B14EC"/>
    <w:rsid w:val="001B49C9"/>
    <w:rsid w:val="001C23F4"/>
    <w:rsid w:val="001C4F79"/>
    <w:rsid w:val="001F168B"/>
    <w:rsid w:val="001F7831"/>
    <w:rsid w:val="00204045"/>
    <w:rsid w:val="0020712B"/>
    <w:rsid w:val="002137BA"/>
    <w:rsid w:val="00214AF5"/>
    <w:rsid w:val="0022606D"/>
    <w:rsid w:val="00231728"/>
    <w:rsid w:val="00250404"/>
    <w:rsid w:val="002610D8"/>
    <w:rsid w:val="00271A8A"/>
    <w:rsid w:val="002747EC"/>
    <w:rsid w:val="0027680D"/>
    <w:rsid w:val="002855BF"/>
    <w:rsid w:val="002A5627"/>
    <w:rsid w:val="002F0D22"/>
    <w:rsid w:val="002F1410"/>
    <w:rsid w:val="003172DC"/>
    <w:rsid w:val="0032139C"/>
    <w:rsid w:val="00325AE3"/>
    <w:rsid w:val="00326069"/>
    <w:rsid w:val="0035462D"/>
    <w:rsid w:val="00364B41"/>
    <w:rsid w:val="00365AAF"/>
    <w:rsid w:val="00383096"/>
    <w:rsid w:val="003A41EF"/>
    <w:rsid w:val="003B3794"/>
    <w:rsid w:val="003B40AD"/>
    <w:rsid w:val="003C4E37"/>
    <w:rsid w:val="003D4B58"/>
    <w:rsid w:val="003E16BE"/>
    <w:rsid w:val="003F0C8F"/>
    <w:rsid w:val="003F4E28"/>
    <w:rsid w:val="004006E8"/>
    <w:rsid w:val="00401855"/>
    <w:rsid w:val="004051C0"/>
    <w:rsid w:val="00465587"/>
    <w:rsid w:val="00465D18"/>
    <w:rsid w:val="00477455"/>
    <w:rsid w:val="004A1F7B"/>
    <w:rsid w:val="004C44D2"/>
    <w:rsid w:val="004D3578"/>
    <w:rsid w:val="004D380D"/>
    <w:rsid w:val="004E213A"/>
    <w:rsid w:val="004E21E3"/>
    <w:rsid w:val="00503171"/>
    <w:rsid w:val="00506C28"/>
    <w:rsid w:val="00534DA0"/>
    <w:rsid w:val="00543E6C"/>
    <w:rsid w:val="005527F4"/>
    <w:rsid w:val="00565087"/>
    <w:rsid w:val="0056573F"/>
    <w:rsid w:val="005866F5"/>
    <w:rsid w:val="00587BF0"/>
    <w:rsid w:val="005A4E31"/>
    <w:rsid w:val="00611566"/>
    <w:rsid w:val="00646D99"/>
    <w:rsid w:val="00656910"/>
    <w:rsid w:val="00683395"/>
    <w:rsid w:val="006B6F42"/>
    <w:rsid w:val="006C66D8"/>
    <w:rsid w:val="006D1E24"/>
    <w:rsid w:val="006E1417"/>
    <w:rsid w:val="006F6A2C"/>
    <w:rsid w:val="007069DC"/>
    <w:rsid w:val="00710201"/>
    <w:rsid w:val="0072073A"/>
    <w:rsid w:val="007342B5"/>
    <w:rsid w:val="00734A5B"/>
    <w:rsid w:val="00744E76"/>
    <w:rsid w:val="007525D8"/>
    <w:rsid w:val="00757D40"/>
    <w:rsid w:val="007664D7"/>
    <w:rsid w:val="00781F0F"/>
    <w:rsid w:val="0078727C"/>
    <w:rsid w:val="0079049D"/>
    <w:rsid w:val="00793DC5"/>
    <w:rsid w:val="007B18D8"/>
    <w:rsid w:val="007C095F"/>
    <w:rsid w:val="007C2DD0"/>
    <w:rsid w:val="007F2E08"/>
    <w:rsid w:val="008028A4"/>
    <w:rsid w:val="00813245"/>
    <w:rsid w:val="008622BA"/>
    <w:rsid w:val="0086354A"/>
    <w:rsid w:val="00870625"/>
    <w:rsid w:val="008768CA"/>
    <w:rsid w:val="00877EF9"/>
    <w:rsid w:val="00880559"/>
    <w:rsid w:val="008B5306"/>
    <w:rsid w:val="008C3057"/>
    <w:rsid w:val="008D2E4D"/>
    <w:rsid w:val="008F396F"/>
    <w:rsid w:val="0090271F"/>
    <w:rsid w:val="00902DB9"/>
    <w:rsid w:val="0090466A"/>
    <w:rsid w:val="00923655"/>
    <w:rsid w:val="00924277"/>
    <w:rsid w:val="00933824"/>
    <w:rsid w:val="00936071"/>
    <w:rsid w:val="00940212"/>
    <w:rsid w:val="00940DEE"/>
    <w:rsid w:val="00942EC2"/>
    <w:rsid w:val="00961B32"/>
    <w:rsid w:val="00962509"/>
    <w:rsid w:val="00970DB3"/>
    <w:rsid w:val="00974BB0"/>
    <w:rsid w:val="00975BCD"/>
    <w:rsid w:val="00976731"/>
    <w:rsid w:val="009A0AF3"/>
    <w:rsid w:val="009A78EC"/>
    <w:rsid w:val="009B07CD"/>
    <w:rsid w:val="009C19E9"/>
    <w:rsid w:val="009D74A6"/>
    <w:rsid w:val="009E22B5"/>
    <w:rsid w:val="009F1B92"/>
    <w:rsid w:val="00A10F02"/>
    <w:rsid w:val="00A204CA"/>
    <w:rsid w:val="00A209D6"/>
    <w:rsid w:val="00A53724"/>
    <w:rsid w:val="00A54B2B"/>
    <w:rsid w:val="00A82346"/>
    <w:rsid w:val="00A92992"/>
    <w:rsid w:val="00A9671C"/>
    <w:rsid w:val="00AA1553"/>
    <w:rsid w:val="00AD453E"/>
    <w:rsid w:val="00AE4110"/>
    <w:rsid w:val="00B05380"/>
    <w:rsid w:val="00B05962"/>
    <w:rsid w:val="00B14A3B"/>
    <w:rsid w:val="00B15449"/>
    <w:rsid w:val="00B16C2F"/>
    <w:rsid w:val="00B27303"/>
    <w:rsid w:val="00B47FD1"/>
    <w:rsid w:val="00B516BB"/>
    <w:rsid w:val="00B61B92"/>
    <w:rsid w:val="00B84DB2"/>
    <w:rsid w:val="00B854DF"/>
    <w:rsid w:val="00BB6EDD"/>
    <w:rsid w:val="00BC3555"/>
    <w:rsid w:val="00C12B51"/>
    <w:rsid w:val="00C24650"/>
    <w:rsid w:val="00C25465"/>
    <w:rsid w:val="00C30389"/>
    <w:rsid w:val="00C33079"/>
    <w:rsid w:val="00C40B93"/>
    <w:rsid w:val="00C7675B"/>
    <w:rsid w:val="00C83A13"/>
    <w:rsid w:val="00C9068C"/>
    <w:rsid w:val="00C90C6D"/>
    <w:rsid w:val="00C92967"/>
    <w:rsid w:val="00CA2977"/>
    <w:rsid w:val="00CA3D0C"/>
    <w:rsid w:val="00CA654B"/>
    <w:rsid w:val="00CB72B8"/>
    <w:rsid w:val="00CC1B80"/>
    <w:rsid w:val="00CD4C7B"/>
    <w:rsid w:val="00CE4727"/>
    <w:rsid w:val="00D33BE3"/>
    <w:rsid w:val="00D3792D"/>
    <w:rsid w:val="00D54682"/>
    <w:rsid w:val="00D55E47"/>
    <w:rsid w:val="00D62E19"/>
    <w:rsid w:val="00D67CD1"/>
    <w:rsid w:val="00D738D6"/>
    <w:rsid w:val="00D80795"/>
    <w:rsid w:val="00D854BE"/>
    <w:rsid w:val="00D87E00"/>
    <w:rsid w:val="00D9134D"/>
    <w:rsid w:val="00D96D11"/>
    <w:rsid w:val="00DA17F2"/>
    <w:rsid w:val="00DA7A03"/>
    <w:rsid w:val="00DB0DB8"/>
    <w:rsid w:val="00DB1818"/>
    <w:rsid w:val="00DC309B"/>
    <w:rsid w:val="00DC4DA2"/>
    <w:rsid w:val="00DC5261"/>
    <w:rsid w:val="00DE25D2"/>
    <w:rsid w:val="00E17037"/>
    <w:rsid w:val="00E46C08"/>
    <w:rsid w:val="00E471CF"/>
    <w:rsid w:val="00E50D73"/>
    <w:rsid w:val="00E62835"/>
    <w:rsid w:val="00E77645"/>
    <w:rsid w:val="00E83697"/>
    <w:rsid w:val="00EA3FBA"/>
    <w:rsid w:val="00EA66C9"/>
    <w:rsid w:val="00EB1D67"/>
    <w:rsid w:val="00EC4A25"/>
    <w:rsid w:val="00F025A2"/>
    <w:rsid w:val="00F036E9"/>
    <w:rsid w:val="00F07388"/>
    <w:rsid w:val="00F1475B"/>
    <w:rsid w:val="00F2026E"/>
    <w:rsid w:val="00F2210A"/>
    <w:rsid w:val="00F32AC8"/>
    <w:rsid w:val="00F37743"/>
    <w:rsid w:val="00F54A3D"/>
    <w:rsid w:val="00F54CB0"/>
    <w:rsid w:val="00F579CD"/>
    <w:rsid w:val="00F653B8"/>
    <w:rsid w:val="00F71B89"/>
    <w:rsid w:val="00F7353C"/>
    <w:rsid w:val="00F76F8F"/>
    <w:rsid w:val="00F81093"/>
    <w:rsid w:val="00F941DF"/>
    <w:rsid w:val="00FA1266"/>
    <w:rsid w:val="00FB36FA"/>
    <w:rsid w:val="00FC1192"/>
    <w:rsid w:val="00FD6BA2"/>
    <w:rsid w:val="00FE251B"/>
    <w:rsid w:val="00FE5E68"/>
    <w:rsid w:val="00FF21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61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1B92"/>
    <w:pPr>
      <w:ind w:left="720"/>
      <w:contextualSpacing/>
    </w:pPr>
  </w:style>
  <w:style w:type="character" w:styleId="CommentReference">
    <w:name w:val="annotation reference"/>
    <w:basedOn w:val="DefaultParagraphFont"/>
    <w:rsid w:val="00E50D73"/>
    <w:rPr>
      <w:sz w:val="16"/>
      <w:szCs w:val="16"/>
    </w:rPr>
  </w:style>
  <w:style w:type="paragraph" w:styleId="CommentText">
    <w:name w:val="annotation text"/>
    <w:basedOn w:val="Normal"/>
    <w:link w:val="CommentTextChar"/>
    <w:rsid w:val="00E50D73"/>
  </w:style>
  <w:style w:type="character" w:customStyle="1" w:styleId="CommentTextChar">
    <w:name w:val="Comment Text Char"/>
    <w:basedOn w:val="DefaultParagraphFont"/>
    <w:link w:val="CommentText"/>
    <w:rsid w:val="00E50D73"/>
    <w:rPr>
      <w:lang w:eastAsia="en-US"/>
    </w:rPr>
  </w:style>
  <w:style w:type="paragraph" w:styleId="CommentSubject">
    <w:name w:val="annotation subject"/>
    <w:basedOn w:val="CommentText"/>
    <w:next w:val="CommentText"/>
    <w:link w:val="CommentSubjectChar"/>
    <w:rsid w:val="00E50D73"/>
    <w:rPr>
      <w:b/>
      <w:bCs/>
    </w:rPr>
  </w:style>
  <w:style w:type="character" w:customStyle="1" w:styleId="CommentSubjectChar">
    <w:name w:val="Comment Subject Char"/>
    <w:basedOn w:val="CommentTextChar"/>
    <w:link w:val="CommentSubject"/>
    <w:rsid w:val="00E50D73"/>
    <w:rPr>
      <w:b/>
      <w:bCs/>
      <w:lang w:eastAsia="en-US"/>
    </w:rPr>
  </w:style>
  <w:style w:type="paragraph" w:styleId="Caption">
    <w:name w:val="caption"/>
    <w:basedOn w:val="Normal"/>
    <w:next w:val="Normal"/>
    <w:unhideWhenUsed/>
    <w:qFormat/>
    <w:rsid w:val="0032139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031055">
      <w:bodyDiv w:val="1"/>
      <w:marLeft w:val="0"/>
      <w:marRight w:val="0"/>
      <w:marTop w:val="0"/>
      <w:marBottom w:val="0"/>
      <w:divBdr>
        <w:top w:val="none" w:sz="0" w:space="0" w:color="auto"/>
        <w:left w:val="none" w:sz="0" w:space="0" w:color="auto"/>
        <w:bottom w:val="none" w:sz="0" w:space="0" w:color="auto"/>
        <w:right w:val="none" w:sz="0" w:space="0" w:color="auto"/>
      </w:divBdr>
    </w:div>
    <w:div w:id="62115808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5AIRPNAIUNRU-859666464-5248</_dlc_DocId>
    <_dlc_DocIdUrl xmlns="71c5aaf6-e6ce-465b-b873-5148d2a4c105">
      <Url>https://nokia.sharepoint.com/sites/c5g/e2earch/_layouts/15/DocIdRedir.aspx?ID=5AIRPNAIUNRU-859666464-5248</Url>
      <Description>5AIRPNAIUNRU-859666464-5248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5A04650-6158-427F-8517-D981E7139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Pages>
  <Words>1094</Words>
  <Characters>6238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Stanczak, Jedrzej (Nokia - PL/Wroclaw)</cp:lastModifiedBy>
  <cp:revision>13</cp:revision>
  <dcterms:created xsi:type="dcterms:W3CDTF">2019-07-15T14:42:00Z</dcterms:created>
  <dcterms:modified xsi:type="dcterms:W3CDTF">2019-08-15T19:01:00Z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03de7a66-49d1-4e61-a639-a510078fde61</vt:lpwstr>
  </property>
</Properties>
</file>